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7" w:line="222" w:lineRule="auto"/>
        <w:jc w:val="center"/>
        <w:outlineLvl w:val="0"/>
        <w:rPr>
          <w:rFonts w:ascii="黑体" w:hAnsi="黑体" w:eastAsia="黑体" w:cs="黑体"/>
          <w:sz w:val="90"/>
          <w:szCs w:val="90"/>
        </w:rPr>
      </w:pPr>
      <w:r>
        <w:rPr>
          <w:rFonts w:hint="eastAsia" w:ascii="黑体" w:hAnsi="黑体" w:eastAsia="黑体" w:cs="黑体"/>
          <w:b/>
          <w:bCs/>
          <w:spacing w:val="11"/>
          <w:sz w:val="90"/>
          <w:szCs w:val="90"/>
          <w:lang w:eastAsia="zh-CN"/>
        </w:rPr>
        <w:t>宝应</w:t>
      </w:r>
      <w:r>
        <w:rPr>
          <w:rFonts w:ascii="黑体" w:hAnsi="黑体" w:eastAsia="黑体" w:cs="黑体"/>
          <w:b/>
          <w:bCs/>
          <w:spacing w:val="11"/>
          <w:sz w:val="90"/>
          <w:szCs w:val="90"/>
        </w:rPr>
        <w:t>农商银行代</w:t>
      </w:r>
      <w:r>
        <w:rPr>
          <w:rFonts w:hint="eastAsia" w:ascii="黑体" w:hAnsi="黑体" w:eastAsia="黑体" w:cs="黑体"/>
          <w:b/>
          <w:bCs/>
          <w:spacing w:val="11"/>
          <w:sz w:val="90"/>
          <w:szCs w:val="90"/>
          <w:lang w:eastAsia="zh-CN"/>
        </w:rPr>
        <w:t>理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pacing w:val="11"/>
          <w:sz w:val="90"/>
          <w:szCs w:val="90"/>
          <w:lang w:eastAsia="zh-CN"/>
        </w:rPr>
        <w:t>保险公司及</w:t>
      </w:r>
      <w:r>
        <w:rPr>
          <w:rFonts w:ascii="黑体" w:hAnsi="黑体" w:eastAsia="黑体" w:cs="黑体"/>
          <w:b/>
          <w:bCs/>
          <w:spacing w:val="11"/>
          <w:sz w:val="90"/>
          <w:szCs w:val="90"/>
        </w:rPr>
        <w:t>产品</w:t>
      </w:r>
      <w:r>
        <w:rPr>
          <w:rFonts w:hint="eastAsia" w:ascii="黑体" w:hAnsi="黑体" w:eastAsia="黑体" w:cs="黑体"/>
          <w:b/>
          <w:bCs/>
          <w:spacing w:val="11"/>
          <w:sz w:val="90"/>
          <w:szCs w:val="90"/>
          <w:lang w:eastAsia="zh-CN"/>
        </w:rPr>
        <w:t>公示</w:t>
      </w:r>
    </w:p>
    <w:p>
      <w:pPr>
        <w:spacing w:before="69"/>
        <w:jc w:val="center"/>
        <w:rPr>
          <w:rFonts w:hint="eastAsia" w:eastAsia="宋体"/>
          <w:sz w:val="48"/>
          <w:szCs w:val="48"/>
          <w:lang w:eastAsia="zh-CN"/>
        </w:rPr>
      </w:pPr>
      <w:r>
        <w:rPr>
          <w:rFonts w:hint="eastAsia" w:eastAsia="宋体"/>
          <w:sz w:val="48"/>
          <w:szCs w:val="48"/>
          <w:lang w:eastAsia="zh-CN"/>
        </w:rPr>
        <w:t>（</w:t>
      </w:r>
      <w:r>
        <w:rPr>
          <w:rFonts w:hint="eastAsia" w:eastAsia="宋体"/>
          <w:sz w:val="48"/>
          <w:szCs w:val="48"/>
          <w:lang w:val="en-US" w:eastAsia="zh-CN"/>
        </w:rPr>
        <w:t>2025年12月9日</w:t>
      </w:r>
      <w:r>
        <w:rPr>
          <w:rFonts w:hint="eastAsia" w:eastAsia="宋体"/>
          <w:sz w:val="48"/>
          <w:szCs w:val="48"/>
          <w:lang w:eastAsia="zh-CN"/>
        </w:rPr>
        <w:t>）</w:t>
      </w:r>
    </w:p>
    <w:p>
      <w:pPr>
        <w:spacing w:before="69"/>
      </w:pPr>
    </w:p>
    <w:p>
      <w:pPr>
        <w:spacing w:before="69"/>
      </w:pPr>
    </w:p>
    <w:tbl>
      <w:tblPr>
        <w:tblStyle w:val="4"/>
        <w:tblW w:w="16900" w:type="dxa"/>
        <w:jc w:val="center"/>
        <w:tblInd w:w="17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5"/>
        <w:gridCol w:w="115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375" w:type="dxa"/>
            <w:tcBorders>
              <w:tl2br w:val="nil"/>
              <w:tr2bl w:val="nil"/>
            </w:tcBorders>
            <w:vAlign w:val="center"/>
          </w:tcPr>
          <w:p>
            <w:pPr>
              <w:spacing w:before="147" w:line="222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12"/>
                <w:sz w:val="45"/>
                <w:szCs w:val="45"/>
              </w:rPr>
              <w:t>合作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2"/>
                <w:sz w:val="45"/>
                <w:szCs w:val="45"/>
                <w:lang w:eastAsia="zh-CN"/>
              </w:rPr>
              <w:t>保险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12"/>
                <w:sz w:val="45"/>
                <w:szCs w:val="45"/>
              </w:rPr>
              <w:t>公司</w:t>
            </w: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7" w:line="221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8"/>
                <w:sz w:val="45"/>
                <w:szCs w:val="45"/>
              </w:rPr>
              <w:t>合作产品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37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146" w:line="222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</w:p>
          <w:p>
            <w:pPr>
              <w:spacing w:before="146" w:line="222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</w:p>
          <w:p>
            <w:pPr>
              <w:spacing w:before="146" w:line="222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</w:p>
          <w:p>
            <w:pPr>
              <w:spacing w:before="146" w:line="222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  <w:t>中国人寿</w:t>
            </w:r>
          </w:p>
          <w:p>
            <w:pPr>
              <w:spacing w:before="146" w:line="221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45"/>
                <w:szCs w:val="45"/>
              </w:rPr>
              <w:t>国寿鑫瑞一生终身寿险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22" w:lineRule="auto"/>
              <w:jc w:val="center"/>
              <w:rPr>
                <w:rFonts w:hint="default" w:ascii="宋体" w:hAnsi="宋体" w:eastAsia="宋体" w:cs="宋体"/>
                <w:color w:val="auto"/>
                <w:sz w:val="45"/>
                <w:szCs w:val="45"/>
                <w:lang w:val="en-US" w:eastAsia="zh-CN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hint="default" w:ascii="宋体" w:hAnsi="宋体" w:eastAsia="宋体" w:cs="宋体"/>
                <w:color w:val="auto"/>
                <w:sz w:val="45"/>
                <w:szCs w:val="4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45"/>
                <w:szCs w:val="45"/>
              </w:rPr>
              <w:t>国寿鑫瑞金生终身寿险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7" w:line="222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7" w:line="240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45"/>
                <w:szCs w:val="45"/>
              </w:rPr>
              <w:t>国寿鸿耀一生终身寿险（分红型）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22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45"/>
                <w:szCs w:val="45"/>
              </w:rPr>
              <w:t>国寿鸿耀金生终身寿险（分红型）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22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  <w:t>国寿鑫添宝两全保险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21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45"/>
                <w:szCs w:val="45"/>
              </w:rPr>
              <w:t>国寿鸿安宝两全保险（分红型）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21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  <w:t>国寿鑫享盈两全保险（分红型）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37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146" w:line="221" w:lineRule="auto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  <w:lang w:eastAsia="zh-CN"/>
              </w:rPr>
            </w:pPr>
          </w:p>
          <w:p>
            <w:pPr>
              <w:spacing w:before="146" w:line="221" w:lineRule="auto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  <w:lang w:eastAsia="zh-CN"/>
              </w:rPr>
            </w:pPr>
          </w:p>
          <w:p>
            <w:pPr>
              <w:spacing w:before="146" w:line="221" w:lineRule="auto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  <w:lang w:eastAsia="zh-CN"/>
              </w:rPr>
            </w:pPr>
          </w:p>
          <w:p>
            <w:pPr>
              <w:spacing w:before="146" w:line="221" w:lineRule="auto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  <w:lang w:eastAsia="zh-CN"/>
              </w:rPr>
            </w:pPr>
          </w:p>
          <w:p>
            <w:pPr>
              <w:spacing w:before="146" w:line="221" w:lineRule="auto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  <w:lang w:eastAsia="zh-CN"/>
              </w:rPr>
              <w:t>利安人寿</w:t>
            </w:r>
          </w:p>
          <w:p>
            <w:pPr>
              <w:spacing w:before="146" w:line="221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  <w:t>利安吉瑞（御享版）终身寿险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21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  <w:t>利安瑞臻(A款）终身寿险（分红型）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21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  <w:t>利安颐养金生（优享版A款）养老年金保险（分红型）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21" w:lineRule="auto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  <w:lang w:eastAsia="zh-CN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  <w:t>利安金满堂（御享版）两全保险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21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  <w:t>利安金满堂（尊享版）两全保险（分红型）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21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  <w:t>利安鑫六吉（御享版）年金保险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21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  <w:t>利安申利鑫（御享版）养老年金保险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37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21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  <w:lang w:eastAsia="zh-CN"/>
              </w:rPr>
              <w:t>国任保险</w:t>
            </w: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  <w:lang w:eastAsia="zh-CN"/>
              </w:rPr>
              <w:t>国任保险银行“家”意外财产保险</w:t>
            </w:r>
          </w:p>
        </w:tc>
      </w:tr>
    </w:tbl>
    <w:p>
      <w:pPr>
        <w:spacing w:line="283" w:lineRule="auto"/>
        <w:rPr>
          <w:rFonts w:ascii="Arial"/>
          <w:sz w:val="21"/>
        </w:rPr>
      </w:pPr>
    </w:p>
    <w:p>
      <w:pPr>
        <w:spacing w:before="127" w:line="346" w:lineRule="auto"/>
        <w:jc w:val="both"/>
        <w:rPr>
          <w:rFonts w:ascii="黑体" w:hAnsi="黑体" w:eastAsia="黑体" w:cs="黑体"/>
          <w:sz w:val="39"/>
          <w:szCs w:val="39"/>
        </w:rPr>
      </w:pPr>
      <w:r>
        <w:rPr>
          <w:rFonts w:hint="eastAsia" w:ascii="黑体" w:hAnsi="黑体" w:eastAsia="黑体" w:cs="黑体"/>
          <w:spacing w:val="31"/>
          <w:sz w:val="39"/>
          <w:szCs w:val="39"/>
          <w:lang w:val="en-US" w:eastAsia="zh-CN"/>
        </w:rPr>
        <w:t xml:space="preserve">   宝应农商银行合作保险公司为中国人寿、利安人寿、国任保险3家保险公司，本行接受保险公司委托，在保险公司授权范围内代理销售保险产品并提供相关服务。以上保险产品由</w:t>
      </w:r>
      <w:r>
        <w:rPr>
          <w:rFonts w:ascii="黑体" w:hAnsi="黑体" w:eastAsia="黑体" w:cs="黑体"/>
          <w:spacing w:val="30"/>
          <w:sz w:val="39"/>
          <w:szCs w:val="39"/>
        </w:rPr>
        <w:t>中国人寿、</w:t>
      </w:r>
      <w:r>
        <w:rPr>
          <w:rFonts w:hint="eastAsia" w:ascii="黑体" w:hAnsi="黑体" w:eastAsia="黑体" w:cs="黑体"/>
          <w:spacing w:val="30"/>
          <w:sz w:val="39"/>
          <w:szCs w:val="39"/>
          <w:lang w:eastAsia="zh-CN"/>
        </w:rPr>
        <w:t>利安</w:t>
      </w:r>
      <w:r>
        <w:rPr>
          <w:rFonts w:ascii="黑体" w:hAnsi="黑体" w:eastAsia="黑体" w:cs="黑体"/>
          <w:spacing w:val="31"/>
          <w:sz w:val="39"/>
          <w:szCs w:val="39"/>
        </w:rPr>
        <w:t>人寿、</w:t>
      </w:r>
      <w:r>
        <w:rPr>
          <w:rFonts w:hint="eastAsia" w:ascii="黑体" w:hAnsi="黑体" w:eastAsia="黑体" w:cs="黑体"/>
          <w:spacing w:val="31"/>
          <w:sz w:val="39"/>
          <w:szCs w:val="39"/>
          <w:lang w:eastAsia="zh-CN"/>
        </w:rPr>
        <w:t>国任保险</w:t>
      </w:r>
      <w:r>
        <w:rPr>
          <w:rFonts w:ascii="黑体" w:hAnsi="黑体" w:eastAsia="黑体" w:cs="黑体"/>
          <w:spacing w:val="31"/>
          <w:sz w:val="39"/>
          <w:szCs w:val="39"/>
        </w:rPr>
        <w:t>公司</w:t>
      </w:r>
      <w:r>
        <w:rPr>
          <w:rFonts w:hint="eastAsia" w:ascii="黑体" w:hAnsi="黑体" w:eastAsia="黑体" w:cs="黑体"/>
          <w:spacing w:val="31"/>
          <w:sz w:val="39"/>
          <w:szCs w:val="39"/>
          <w:lang w:eastAsia="zh-CN"/>
        </w:rPr>
        <w:t>发行与管理，</w:t>
      </w:r>
      <w:r>
        <w:rPr>
          <w:rFonts w:hint="eastAsia" w:ascii="黑体" w:hAnsi="黑体" w:eastAsia="黑体" w:cs="黑体"/>
          <w:spacing w:val="31"/>
          <w:sz w:val="39"/>
          <w:szCs w:val="39"/>
          <w:lang w:val="en-US" w:eastAsia="zh-CN"/>
        </w:rPr>
        <w:t>具体代销保险产品可登录“江苏农商银行”手机银行保险专区查看。</w:t>
      </w:r>
      <w:r>
        <w:rPr>
          <w:rFonts w:hint="eastAsia" w:ascii="黑体" w:hAnsi="黑体" w:eastAsia="黑体" w:cs="黑体"/>
          <w:spacing w:val="31"/>
          <w:sz w:val="39"/>
          <w:szCs w:val="39"/>
          <w:lang w:eastAsia="zh-CN"/>
        </w:rPr>
        <w:t>本行作为代销机构</w:t>
      </w:r>
      <w:r>
        <w:rPr>
          <w:rFonts w:ascii="黑体" w:hAnsi="黑体" w:eastAsia="黑体" w:cs="黑体"/>
          <w:spacing w:val="32"/>
          <w:sz w:val="39"/>
          <w:szCs w:val="39"/>
        </w:rPr>
        <w:t>不承担产品的投资、兑付和风险管理。产品有风险，投资需谨慎，购买前可咨询我行</w:t>
      </w:r>
      <w:r>
        <w:rPr>
          <w:rFonts w:hint="eastAsia" w:ascii="黑体" w:hAnsi="黑体" w:eastAsia="黑体" w:cs="黑体"/>
          <w:spacing w:val="37"/>
          <w:sz w:val="39"/>
          <w:szCs w:val="39"/>
          <w:lang w:eastAsia="zh-CN"/>
        </w:rPr>
        <w:t>理财经理</w:t>
      </w:r>
      <w:r>
        <w:rPr>
          <w:rFonts w:ascii="黑体" w:hAnsi="黑体" w:eastAsia="黑体" w:cs="黑体"/>
          <w:spacing w:val="37"/>
          <w:sz w:val="39"/>
          <w:szCs w:val="39"/>
        </w:rPr>
        <w:t>。</w:t>
      </w:r>
    </w:p>
    <w:sectPr>
      <w:pgSz w:w="22387" w:h="31681"/>
      <w:pgMar w:top="2664" w:right="3000" w:bottom="0" w:left="2905" w:header="0" w:footer="0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compat>
    <w:spaceForUL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35A69FF"/>
    <w:rsid w:val="050016A8"/>
    <w:rsid w:val="07C73DBF"/>
    <w:rsid w:val="097651B4"/>
    <w:rsid w:val="09D77CD8"/>
    <w:rsid w:val="0B3215FA"/>
    <w:rsid w:val="0F212A8D"/>
    <w:rsid w:val="15637D23"/>
    <w:rsid w:val="1C075F40"/>
    <w:rsid w:val="20BB675D"/>
    <w:rsid w:val="213D4442"/>
    <w:rsid w:val="219E76F3"/>
    <w:rsid w:val="223C39CD"/>
    <w:rsid w:val="23C17A97"/>
    <w:rsid w:val="277D5914"/>
    <w:rsid w:val="27C463FF"/>
    <w:rsid w:val="28765F54"/>
    <w:rsid w:val="2E57681A"/>
    <w:rsid w:val="309E1A98"/>
    <w:rsid w:val="33616348"/>
    <w:rsid w:val="394815D7"/>
    <w:rsid w:val="3A9F0546"/>
    <w:rsid w:val="3B532414"/>
    <w:rsid w:val="3BE358B6"/>
    <w:rsid w:val="3C015573"/>
    <w:rsid w:val="3FFB3697"/>
    <w:rsid w:val="46544ED0"/>
    <w:rsid w:val="4A684112"/>
    <w:rsid w:val="4B151C27"/>
    <w:rsid w:val="55382BFF"/>
    <w:rsid w:val="5DFF2F60"/>
    <w:rsid w:val="68675C3F"/>
    <w:rsid w:val="6A476BF6"/>
    <w:rsid w:val="6A4F3067"/>
    <w:rsid w:val="708A6DB2"/>
    <w:rsid w:val="77F85F01"/>
    <w:rsid w:val="78D37654"/>
    <w:rsid w:val="79AA5561"/>
    <w:rsid w:val="7DF1573D"/>
    <w:rsid w:val="7FFA7C77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326</Words>
  <Characters>331</Characters>
  <Lines>0</Lines>
  <Paragraphs>0</Paragraphs>
  <ScaleCrop>false</ScaleCrop>
  <LinksUpToDate>false</LinksUpToDate>
  <CharactersWithSpaces>334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2025-12-18T10:58:00Z</dcterms:created>
  <dc:creator>Administrator</dc:creator>
  <cp:lastModifiedBy>佟飞</cp:lastModifiedBy>
  <dcterms:modified xsi:type="dcterms:W3CDTF">2026-03-19T07:14:43Z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2025-12-18T10:58:51Z</vt:filetime>
  </property>
  <property fmtid="{D5CDD505-2E9C-101B-9397-08002B2CF9AE}" pid="4" name="UsrData">
    <vt:lpwstr>69436de293e4d8001f03048bwl</vt:lpwstr>
  </property>
  <property fmtid="{D5CDD505-2E9C-101B-9397-08002B2CF9AE}" pid="5" name="KSOProductBuildVer">
    <vt:lpwstr>2052-10.8.0.5838</vt:lpwstr>
  </property>
  <property fmtid="{D5CDD505-2E9C-101B-9397-08002B2CF9AE}" pid="6" name="ICV">
    <vt:lpwstr>764F688956BA4E99A6C40471862E8A8D_13</vt:lpwstr>
  </property>
</Properties>
</file>