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2018年08月30日</w:t>
      </w:r>
      <w:r>
        <w:rPr>
          <w:rFonts w:ascii="楷体" w:eastAsia="楷体" w:hAnsi="楷体" w:cs="楷体" w:hint="eastAsia"/>
        </w:rPr>
        <w:t xml:space="preserve">成立，于</w:t>
      </w:r>
      <w:r>
        <w:rPr>
          <w:rFonts w:ascii="楷体" w:eastAsia="楷体" w:hAnsi="楷体" w:cs="楷体" w:hint="eastAsia"/>
          <w:spacing w:val="-7"/>
        </w:rPr>
        <w:t xml:space="preserve">2018年08月30日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0" w:name="_Toc535504139"/>
      <w:r>
        <w:rPr>
          <w:rFonts w:ascii="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Z7003121000014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31,759,878,969.29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31,759,878,969.29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31000188000310268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33,815,354,876.78</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106.47%</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报告日期</w:t>
            </w:r>
          </w:p>
        </w:tc>
        <w:tc>
          <w:tcPr>
            <w:tcW w:w="2085"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销售名称</w:t>
            </w:r>
          </w:p>
        </w:tc>
        <w:tc>
          <w:tcPr>
            <w:tcW w:w="1500" w:type="dxa"/>
          </w:tcPr>
          <w:p>
            <w:pPr>
              <w:jc w:val="center"/>
              <w:rPr>
                <w:rFonts w:ascii="楷体" w:eastAsia="楷体" w:hAnsi="楷体" w:cs="楷体"/>
                <w:sz w:val="21"/>
                <w:szCs w:val="21"/>
              </w:rPr>
            </w:pPr>
            <w:r>
              <w:rPr>
                <w:rFonts w:ascii="楷体" w:eastAsia="楷体" w:hAnsi="楷体" w:cs="楷体" w:hint="eastAsia"/>
                <w:sz w:val="21"/>
                <w:szCs w:val="21"/>
              </w:rPr>
              <w:t xml:space="preserve">每万份收益</w:t>
            </w:r>
          </w:p>
        </w:tc>
        <w:tc>
          <w:tcPr>
            <w:tcW w:w="1665" w:type="dxa"/>
          </w:tcPr>
          <w:p>
            <w:pPr>
              <w:jc w:val="center"/>
              <w:rPr>
                <w:rFonts w:ascii="楷体" w:eastAsia="楷体" w:hAnsi="楷体" w:cs="楷体"/>
                <w:sz w:val="21"/>
                <w:szCs w:val="21"/>
              </w:rPr>
            </w:pPr>
            <w:r>
              <w:rPr>
                <w:rFonts w:ascii="楷体" w:eastAsia="楷体" w:hAnsi="楷体" w:cs="楷体" w:hint="eastAsia"/>
                <w:sz w:val="21"/>
                <w:szCs w:val="21"/>
              </w:rPr>
              <w:t xml:space="preserve">七日年化收益率</w:t>
            </w:r>
          </w:p>
        </w:tc>
        <w:tc>
          <w:tcPr>
            <w:tcW w:w="1861" w:type="dxa"/>
          </w:tcPr>
          <w:p>
            <w:pPr>
              <w:jc w:val="center"/>
              <w:rPr>
                <w:rFonts w:ascii="楷体" w:eastAsia="楷体" w:hAnsi="楷体" w:cs="楷体"/>
                <w:sz w:val="21"/>
                <w:szCs w:val="21"/>
              </w:rPr>
            </w:pPr>
            <w:r>
              <w:rPr>
                <w:rFonts w:ascii="楷体" w:eastAsia="楷体" w:hAnsi="楷体" w:cs="楷体" w:hint="eastAsia"/>
                <w:sz w:val="21"/>
                <w:szCs w:val="21"/>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rPr>
            </w:pPr>
            <w:r>
              <w:rPr>
                <w:rFonts w:ascii="楷体" w:eastAsia="楷体" w:hAnsi="楷体" w:cs="楷体" w:hint="eastAsia"/>
                <w:sz w:val="22"/>
              </w:rPr>
              <w:t xml:space="preserve">2025-12-31</w:t>
            </w:r>
          </w:p>
        </w:tc>
        <w:tc>
          <w:tcPr>
            <w:tcW w:w="2085" w:type="dxa"/>
          </w:tcPr>
          <w:p>
            <w:pPr>
              <w:jc w:val="center"/>
              <w:rPr>
                <w:rFonts w:ascii="楷体" w:eastAsia="楷体" w:hAnsi="楷体" w:cs="楷体"/>
                <w:sz w:val="22"/>
              </w:rPr>
            </w:pPr>
            <w:r>
              <w:rPr>
                <w:rFonts w:ascii="楷体" w:eastAsia="楷体" w:hAnsi="楷体" w:cs="楷体" w:hint="eastAsia"/>
                <w:sz w:val="22"/>
              </w:rPr>
              <w:t xml:space="preserve">苏银理财启源现金1号A</w:t>
            </w:r>
          </w:p>
        </w:tc>
        <w:tc>
          <w:tcPr>
            <w:tcW w:w="1500" w:type="dxa"/>
          </w:tcPr>
          <w:p>
            <w:pPr>
              <w:jc w:val="center"/>
              <w:rPr>
                <w:rFonts w:ascii="楷体" w:eastAsia="楷体" w:hAnsi="楷体" w:cs="楷体"/>
                <w:sz w:val="22"/>
              </w:rPr>
            </w:pPr>
            <w:r>
              <w:rPr>
                <w:rFonts w:ascii="楷体" w:eastAsia="楷体" w:hAnsi="楷体" w:cs="楷体" w:hint="eastAsia"/>
                <w:sz w:val="22"/>
              </w:rPr>
              <w:t xml:space="preserve">0.3771</w:t>
            </w:r>
          </w:p>
        </w:tc>
        <w:tc>
          <w:tcPr>
            <w:tcW w:w="1665" w:type="dxa"/>
          </w:tcPr>
          <w:p>
            <w:pPr>
              <w:jc w:val="center"/>
              <w:rPr>
                <w:rFonts w:ascii="楷体" w:eastAsia="楷体" w:hAnsi="楷体" w:cs="楷体"/>
                <w:sz w:val="22"/>
              </w:rPr>
            </w:pPr>
            <w:r>
              <w:rPr>
                <w:rFonts w:ascii="楷体" w:eastAsia="楷体" w:hAnsi="楷体" w:cs="楷体" w:hint="eastAsia"/>
                <w:sz w:val="22"/>
              </w:rPr>
              <w:t xml:space="preserve">1.40%</w:t>
            </w:r>
          </w:p>
        </w:tc>
        <w:tc>
          <w:tcPr>
            <w:tcW w:w="1861" w:type="dxa"/>
          </w:tcPr>
          <w:p>
            <w:pPr>
              <w:jc w:val="center"/>
              <w:rPr>
                <w:rFonts w:ascii="楷体" w:eastAsia="楷体" w:hAnsi="楷体" w:cs="楷体"/>
                <w:sz w:val="22"/>
              </w:rPr>
            </w:pPr>
            <w:r>
              <w:rPr>
                <w:rFonts w:ascii="楷体" w:eastAsia="楷体" w:hAnsi="楷体" w:cs="楷体" w:hint="eastAsia"/>
                <w:sz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苏银理财启源现金1号DG2</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苏银理财启源现金1号DG3</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苏银理财启源现金1号DG4</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苏银理财启源现金1号E</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0.6612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2.44%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0.3032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苏银理财启源现金1号WS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0.3497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0.3771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苏银理财启源现金1号（代发专享）</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03"/>
        <w:gridCol w:w="2672"/>
        <w:gridCol w:w="2698"/>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03"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72"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98"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03"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72"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78.00%</w:t>
            </w:r>
          </w:p>
        </w:tc>
        <w:tc>
          <w:tcPr>
            <w:tcW w:w="2698"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22.00%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30"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72"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78.00%</w:t>
            </w:r>
          </w:p>
        </w:tc>
        <w:tc>
          <w:tcPr>
            <w:tcW w:w="2698"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22.00%</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25进出61</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1,418,556,644.75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4.17%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16国开13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785,529,381.72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23进出13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739,080,394.16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25农发21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604,711,725.91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525,180,671.07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514,582,523.45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银行存款20250121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508,960,415.90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25农发01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505,657,862.97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25北京银行CD010</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501,967,048.51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25工商银行CD186</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496,701,746.36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rPr>
          <w:rFonts w:ascii="楷体" w:eastAsia="楷体" w:hAnsi="楷体" w:hint="eastAsia"/>
        </w:rPr>
      </w:pPr>
    </w:p>
    <w:p>
      <w:pPr>
        <w:rPr>
          <w:rFonts w:ascii="楷体" w:eastAsia="楷体" w:hAnsi="楷体"/>
          <w:sz w:val="21"/>
          <w:szCs w:val="21"/>
        </w:rPr>
      </w:pPr>
      <w:r>
        <w:rPr>
          <w:rFonts w:ascii="楷体" w:eastAsia="楷体" w:hAnsi="楷体" w:hint="eastAsia"/>
          <w:sz w:val="21"/>
          <w:szCs w:val="21"/>
        </w:rPr>
        <w:t xml:space="preserve">（四）期末理财产品前十名投资者持有情况</w:t>
      </w:r>
    </w:p>
    <w:tbl>
      <w:tblPr>
        <w:tblStyle w:val="TableGrid"/>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611"/>
        <w:gridCol w:w="1815"/>
        <w:gridCol w:w="3510"/>
        <w:gridCol w:w="1695"/>
      </w:tblGrid>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投资者类别</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期末持有份额</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份额占比</w:t>
            </w:r>
          </w:p>
        </w:tc>
      </w:tr>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机构</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401,222,255.71</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1.26%</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160,487,161.52</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160,061,528.04</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142,741,340.71</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115,589,753.93</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115,133,356.86</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100,026,465.44</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0.31%</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93,693,853.71</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0.30%</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90,615,142.58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0.29%</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87,432,815.05</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0.28%</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江苏省国信集团有限公司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042580317.IB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25苏国信CP002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100,000,000.00</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042580317.IB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25苏国信CP002</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100,000,000.00</w:t>
            </w:r>
          </w:p>
        </w:tc>
      </w:tr>
      <w:tr>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082580114.IB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25睿洺ABN002优先</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082580530.IB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25华发优生活6ABN002优先</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53,036.64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47.32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4,869,010,287.01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1,405.01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6,940,134.52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135,599,121.92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7,986,550,630.13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28,347,669.79</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200.04</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2,562,540.51</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六</w:t>
      </w:r>
      <w:r>
        <w:rPr>
          <w:rFonts w:ascii="楷体" w:eastAsia="楷体" w:hAnsi="楷体" w:cs="楷体" w:hint="eastAsia"/>
          <w:sz w:val="22"/>
          <w:szCs w:val="24"/>
        </w:rPr>
        <w:t xml:space="preserve">）自有资金投资情况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七</w:t>
      </w:r>
      <w:r>
        <w:rPr>
          <w:rFonts w:ascii="楷体" w:eastAsia="楷体" w:hAnsi="楷体" w:cs="楷体" w:hint="eastAsia"/>
          <w:sz w:val="22"/>
          <w:szCs w:val="24"/>
        </w:rPr>
        <w:t xml:space="preserve">）理财产品份额变动情况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31,759,878,969.29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32,761,834,876.97</w:t>
            </w:r>
          </w:p>
        </w:tc>
      </w:tr>
    </w:tbl>
    <w:p>
      <w:pPr>
        <w:pStyle w:val="Heading3"/>
        <w:ind w:left="0" w:firstLine="0" w:leftChars="0" w:firstLineChars="0"/>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在党中央的坚强领导下，面对复杂严峻的国内外形势和诸多风险挑战，各地区各部门深入贯彻党中央、国务院的决策部署，坚持稳中求进工作总基调，宏观稳经济政策协同发力、精准施策，经济运行总体平稳、稳中有进，高质量发展取得新成效，全年经济社会发展主要目标顺利实现。</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2025年中国经济展现出强大韧性和巨大潜力，全年实际GDP同比增长5.0%，符合年初预期目标。分季度看，经济呈现"前高后低"走势，一季度GDP同比增长5.4%超预期开局，二季度增长5.2%保持稳健，三季度增长4.8%有所回落，四季度增速继续放缓但仍维持合理区间。全年全国固定资产投资（不含农户）约48.5万亿元，社会消费品零售总额约50.1万亿元，进出口总额约45.5万亿元，工业增加值保持稳定增长。投资端受房地产开发投资持续回落拖累表现偏弱，消费端在以旧换新等政策提振下逐步改善，出口在外部关税扰动下保持韧性。物价水平全年低位运行，内需不足仍是主要挑战，但产业结构持续优化，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债券市场方面，2025年债市整体呈现"先上后下、震荡走弱"的特征，收益率中枢较年初明显上移，期限利差走阔。一季度债市经历剧烈调整，10年期国债收益率从年初1.6%附近快速上行至1.90%后回落至1.81%；二季度在资金面宽松、外部关税扰动及配置力量推动下，债市震荡下行，表现好于一季度；三季度债市震荡走弱，走出"熊陡"行情，10年期国债收益率由季初1.65%一度上行至1.83%；四季度债市弱势震荡，一致预期强化，十年国债利率一度触及1.85%高点。全年来看，央行货币政策在"稳汇率、防风险、促增长"之间灵活平衡，流动性管理前紧后松，MLF操作由收缩转为净投放，公开市场国债买卖重启，资金利率整体保持平稳。外部关税博弈、股债跷跷板效应、机构配置行为及供给冲击成为全年影响债市的重要变量。</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全面管控。全年资产配置策略以稳健为基调，主要集中于银行存款、回购、同业存单、利率债及证券公司债等低风险资产，结合适度的杠杆运用和梯形策略，确保在不同资产类别和期限之间实现合理均衡。一季度在利率偏高区间加大配置，储备高收益长期存款类资产；二季度至四季度根据市场流动性环境和负债端情况灵活调整，季末适时提高高价存款和回购配置比例，控制资产稀释速度，择机配置高收益资产支持证券和资管计划。通过积极的杠杆策略和交易策略，管理人在复杂市场环境下成功获取超额收益，有效提升产品静态收益，为投资者提供了相对稳定的回报，确保了现金管理类产品全年稳健运行，帮助投资者应对市场不确定性，实现了安全性、流动性和收益性的平衡。</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pacing w:val="9"/>
          <w:sz w:val="21"/>
        </w:rPr>
      </w:pPr>
      <w:r>
        <w:rPr>
          <w:rFonts w:ascii="楷体" w:eastAsia="楷体" w:hAnsi="楷体" w:cs="楷体" w:hint="eastAsia"/>
          <w:spacing w:val="9"/>
          <w:sz w:val="21"/>
        </w:rPr>
        <w:t xml:space="preserve">　　2025年，市场流动性整体宽松，本产品在投资高流动性的利率债和AAA存单以外，动态调整产品杠杆率，充分做好资金准备，平稳度过各关键时点，充分满足了产品的流动性需求，保障了投资者的赎回需求。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420" w:firstLineChars="200"/>
        <w:rPr>
          <w:rFonts w:ascii="楷体" w:eastAsia="楷体" w:hAnsi="楷体" w:hint="eastAsia"/>
          <w:bCs/>
          <w:kern w:val="0"/>
          <w:szCs w:val="21"/>
        </w:rPr>
      </w:pPr>
      <w:bookmarkStart w:id="1" w:name="_GoBack"/>
      <w:bookmarkEnd w:id="1"/>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05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05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05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05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9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2026-03-23T02:30:27Z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2026-04-13T08:13:24Z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