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7" w:line="222" w:lineRule="auto"/>
        <w:jc w:val="center"/>
        <w:outlineLvl w:val="0"/>
        <w:rPr>
          <w:rFonts w:ascii="黑体" w:hAnsi="黑体" w:eastAsia="黑体" w:cs="黑体"/>
          <w:sz w:val="90"/>
          <w:szCs w:val="90"/>
        </w:rPr>
      </w:pP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宝应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农商银行代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理贵金属公司及</w:t>
      </w:r>
      <w:r>
        <w:rPr>
          <w:rFonts w:ascii="黑体" w:hAnsi="黑体" w:eastAsia="黑体" w:cs="黑体"/>
          <w:b/>
          <w:bCs/>
          <w:spacing w:val="11"/>
          <w:sz w:val="90"/>
          <w:szCs w:val="90"/>
        </w:rPr>
        <w:t>产品</w:t>
      </w:r>
      <w:r>
        <w:rPr>
          <w:rFonts w:hint="eastAsia" w:ascii="黑体" w:hAnsi="黑体" w:eastAsia="黑体" w:cs="黑体"/>
          <w:b/>
          <w:bCs/>
          <w:spacing w:val="11"/>
          <w:sz w:val="90"/>
          <w:szCs w:val="90"/>
          <w:lang w:eastAsia="zh-CN"/>
        </w:rPr>
        <w:t>公示</w:t>
      </w:r>
    </w:p>
    <w:p>
      <w:pPr>
        <w:spacing w:before="69"/>
        <w:jc w:val="center"/>
        <w:rPr>
          <w:rFonts w:hint="eastAsia" w:eastAsia="宋体"/>
          <w:sz w:val="48"/>
          <w:szCs w:val="48"/>
          <w:lang w:eastAsia="zh-CN"/>
        </w:rPr>
      </w:pPr>
      <w:r>
        <w:rPr>
          <w:rFonts w:hint="eastAsia" w:eastAsia="宋体"/>
          <w:sz w:val="48"/>
          <w:szCs w:val="48"/>
          <w:lang w:eastAsia="zh-CN"/>
        </w:rPr>
        <w:t>（</w:t>
      </w:r>
      <w:r>
        <w:rPr>
          <w:rFonts w:hint="eastAsia" w:eastAsia="宋体"/>
          <w:sz w:val="48"/>
          <w:szCs w:val="48"/>
          <w:lang w:val="en-US" w:eastAsia="zh-CN"/>
        </w:rPr>
        <w:t>2026年3月2日</w:t>
      </w:r>
      <w:r>
        <w:rPr>
          <w:rFonts w:hint="eastAsia" w:eastAsia="宋体"/>
          <w:sz w:val="48"/>
          <w:szCs w:val="48"/>
          <w:lang w:eastAsia="zh-CN"/>
        </w:rPr>
        <w:t>）</w:t>
      </w:r>
    </w:p>
    <w:p>
      <w:pPr>
        <w:spacing w:before="69"/>
      </w:pPr>
    </w:p>
    <w:p>
      <w:pPr>
        <w:spacing w:before="69"/>
      </w:pPr>
    </w:p>
    <w:tbl>
      <w:tblPr>
        <w:tblStyle w:val="4"/>
        <w:tblW w:w="16900" w:type="dxa"/>
        <w:jc w:val="center"/>
        <w:tblInd w:w="17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5"/>
        <w:gridCol w:w="115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2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合作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  <w:lang w:eastAsia="zh-CN"/>
              </w:rPr>
              <w:t>贵金属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12"/>
                <w:sz w:val="45"/>
                <w:szCs w:val="45"/>
              </w:rPr>
              <w:t>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7" w:line="221" w:lineRule="auto"/>
              <w:jc w:val="center"/>
              <w:rPr>
                <w:rFonts w:ascii="宋体" w:hAnsi="宋体" w:eastAsia="宋体" w:cs="宋体"/>
                <w:color w:val="auto"/>
                <w:sz w:val="45"/>
                <w:szCs w:val="45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45"/>
                <w:szCs w:val="45"/>
              </w:rPr>
              <w:t>合作产品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中艺黄金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7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瑞福文化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Times New Roman" w:hAnsi="Times New Roman"/>
                <w:color w:val="auto"/>
                <w:sz w:val="44"/>
                <w:szCs w:val="44"/>
              </w:rPr>
              <w:t>潮宏基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紫金矿业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ascii="宋体" w:hAnsi="宋体" w:eastAsia="宋体" w:cs="宋体"/>
                <w:color w:val="auto"/>
                <w:spacing w:val="9"/>
                <w:sz w:val="45"/>
                <w:szCs w:val="45"/>
              </w:rPr>
              <w:t>东吴黄金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苏投公司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r>
              <w:rPr>
                <w:rFonts w:ascii="宋体" w:hAnsi="宋体" w:eastAsia="宋体" w:cs="宋体"/>
                <w:color w:val="auto"/>
                <w:spacing w:val="6"/>
                <w:sz w:val="45"/>
                <w:szCs w:val="45"/>
              </w:rPr>
              <w:t>投资金条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7" w:hRule="atLeast"/>
          <w:jc w:val="center"/>
        </w:trPr>
        <w:tc>
          <w:tcPr>
            <w:tcW w:w="537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翠绿金业</w:t>
            </w:r>
          </w:p>
        </w:tc>
        <w:tc>
          <w:tcPr>
            <w:tcW w:w="11525" w:type="dxa"/>
            <w:tcBorders>
              <w:tl2br w:val="nil"/>
              <w:tr2bl w:val="nil"/>
            </w:tcBorders>
            <w:vAlign w:val="center"/>
          </w:tcPr>
          <w:p>
            <w:pPr>
              <w:spacing w:before="146" w:line="240" w:lineRule="auto"/>
              <w:jc w:val="center"/>
              <w:rPr>
                <w:rFonts w:hint="eastAsia" w:ascii="宋体" w:hAnsi="宋体" w:eastAsia="宋体" w:cs="宋体"/>
                <w:color w:val="auto"/>
                <w:spacing w:val="10"/>
                <w:sz w:val="45"/>
                <w:szCs w:val="45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pacing w:val="9"/>
                <w:sz w:val="45"/>
                <w:szCs w:val="45"/>
                <w:lang w:eastAsia="zh-CN"/>
              </w:rPr>
              <w:t>投资金条、工艺金、黄金纪念币等实物</w:t>
            </w:r>
            <w:r>
              <w:rPr>
                <w:rFonts w:ascii="宋体" w:hAnsi="宋体" w:eastAsia="宋体" w:cs="宋体"/>
                <w:color w:val="auto"/>
                <w:spacing w:val="7"/>
                <w:sz w:val="45"/>
                <w:szCs w:val="45"/>
              </w:rPr>
              <w:t>贵金属制品</w:t>
            </w:r>
          </w:p>
        </w:tc>
      </w:tr>
    </w:tbl>
    <w:p>
      <w:pPr>
        <w:spacing w:line="283" w:lineRule="auto"/>
        <w:rPr>
          <w:rFonts w:ascii="Arial"/>
          <w:sz w:val="21"/>
        </w:rPr>
      </w:pP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 xml:space="preserve">   宝应农商银行合作贵金属公司为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苏投公司、</w:t>
      </w:r>
      <w:r>
        <w:rPr>
          <w:rFonts w:ascii="黑体" w:hAnsi="黑体" w:eastAsia="黑体" w:cs="黑体"/>
          <w:spacing w:val="31"/>
          <w:sz w:val="39"/>
          <w:szCs w:val="39"/>
        </w:rPr>
        <w:t>东吴黄金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、潮宏基、紫金矿业、瑞福文化、</w:t>
      </w:r>
      <w:r>
        <w:rPr>
          <w:rFonts w:ascii="黑体" w:hAnsi="黑体" w:eastAsia="黑体" w:cs="黑体"/>
          <w:spacing w:val="31"/>
          <w:sz w:val="39"/>
          <w:szCs w:val="39"/>
        </w:rPr>
        <w:t>中艺黄金和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翠绿金业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7家贵金属公司，本行接受贵金属公司委托，在贵金属公司授权范围内代理销售贵金属产品并提供相关服务。以上贵金属产品由</w:t>
      </w:r>
      <w:r>
        <w:rPr>
          <w:rFonts w:hint="eastAsia" w:ascii="黑体" w:hAnsi="黑体" w:eastAsia="黑体" w:cs="黑体"/>
          <w:spacing w:val="30"/>
          <w:sz w:val="39"/>
          <w:szCs w:val="39"/>
          <w:lang w:eastAsia="zh-CN"/>
        </w:rPr>
        <w:t>上述</w:t>
      </w:r>
      <w:r>
        <w:rPr>
          <w:rFonts w:hint="eastAsia" w:ascii="黑体" w:hAnsi="黑体" w:eastAsia="黑体" w:cs="黑体"/>
          <w:spacing w:val="30"/>
          <w:sz w:val="39"/>
          <w:szCs w:val="39"/>
          <w:lang w:val="en-US" w:eastAsia="zh-CN"/>
        </w:rPr>
        <w:t>7家</w:t>
      </w:r>
      <w:r>
        <w:rPr>
          <w:rFonts w:ascii="黑体" w:hAnsi="黑体" w:eastAsia="黑体" w:cs="黑体"/>
          <w:spacing w:val="31"/>
          <w:sz w:val="39"/>
          <w:szCs w:val="39"/>
        </w:rPr>
        <w:t>公司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发行与管理，</w:t>
      </w:r>
      <w:r>
        <w:rPr>
          <w:rFonts w:hint="eastAsia" w:ascii="黑体" w:hAnsi="黑体" w:eastAsia="黑体" w:cs="黑体"/>
          <w:spacing w:val="31"/>
          <w:sz w:val="39"/>
          <w:szCs w:val="39"/>
          <w:lang w:val="en-US" w:eastAsia="zh-CN"/>
        </w:rPr>
        <w:t>具体代销贵金属产品可登录“江苏农商银行”手机银行贵金属专区查看。</w:t>
      </w:r>
      <w:r>
        <w:rPr>
          <w:rFonts w:hint="eastAsia" w:ascii="黑体" w:hAnsi="黑体" w:eastAsia="黑体" w:cs="黑体"/>
          <w:spacing w:val="31"/>
          <w:sz w:val="39"/>
          <w:szCs w:val="39"/>
          <w:lang w:eastAsia="zh-CN"/>
        </w:rPr>
        <w:t>本行作为代销机构</w:t>
      </w:r>
      <w:r>
        <w:rPr>
          <w:rFonts w:ascii="黑体" w:hAnsi="黑体" w:eastAsia="黑体" w:cs="黑体"/>
          <w:spacing w:val="32"/>
          <w:sz w:val="39"/>
          <w:szCs w:val="39"/>
        </w:rPr>
        <w:t>不承担产品的投资、兑付和风险管理。产品有风险，投资需谨慎，购买前可咨询我行</w:t>
      </w:r>
      <w:r>
        <w:rPr>
          <w:rFonts w:hint="eastAsia" w:ascii="黑体" w:hAnsi="黑体" w:eastAsia="黑体" w:cs="黑体"/>
          <w:spacing w:val="37"/>
          <w:sz w:val="39"/>
          <w:szCs w:val="39"/>
          <w:lang w:eastAsia="zh-CN"/>
        </w:rPr>
        <w:t>理财经理</w:t>
      </w:r>
      <w:r>
        <w:rPr>
          <w:rFonts w:ascii="黑体" w:hAnsi="黑体" w:eastAsia="黑体" w:cs="黑体"/>
          <w:spacing w:val="37"/>
          <w:sz w:val="39"/>
          <w:szCs w:val="39"/>
        </w:rPr>
        <w:t>。</w:t>
      </w:r>
    </w:p>
    <w:p>
      <w:pPr>
        <w:spacing w:before="127" w:line="346" w:lineRule="auto"/>
        <w:jc w:val="both"/>
        <w:rPr>
          <w:rFonts w:ascii="黑体" w:hAnsi="黑体" w:eastAsia="黑体" w:cs="黑体"/>
          <w:spacing w:val="37"/>
          <w:sz w:val="39"/>
          <w:szCs w:val="39"/>
        </w:rPr>
      </w:pPr>
    </w:p>
    <w:sectPr>
      <w:pgSz w:w="22387" w:h="31681"/>
      <w:pgMar w:top="2664" w:right="3000" w:bottom="0" w:left="2905" w:header="0" w:footer="0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35A69FF"/>
    <w:rsid w:val="050016A8"/>
    <w:rsid w:val="06BF48AC"/>
    <w:rsid w:val="07C73DBF"/>
    <w:rsid w:val="097651B4"/>
    <w:rsid w:val="09D77CD8"/>
    <w:rsid w:val="0B3215FA"/>
    <w:rsid w:val="0F212A8D"/>
    <w:rsid w:val="15637D23"/>
    <w:rsid w:val="19857778"/>
    <w:rsid w:val="1C075F40"/>
    <w:rsid w:val="20BB675D"/>
    <w:rsid w:val="213D4442"/>
    <w:rsid w:val="219E76F3"/>
    <w:rsid w:val="223C39CD"/>
    <w:rsid w:val="23C17A97"/>
    <w:rsid w:val="25765E8F"/>
    <w:rsid w:val="25DB3635"/>
    <w:rsid w:val="277D5914"/>
    <w:rsid w:val="27C463FF"/>
    <w:rsid w:val="28765F54"/>
    <w:rsid w:val="2D0B7200"/>
    <w:rsid w:val="2E57681A"/>
    <w:rsid w:val="2E67677D"/>
    <w:rsid w:val="309E1A98"/>
    <w:rsid w:val="32837AB9"/>
    <w:rsid w:val="33616348"/>
    <w:rsid w:val="394815D7"/>
    <w:rsid w:val="3A9F0546"/>
    <w:rsid w:val="3B532414"/>
    <w:rsid w:val="3BE358B6"/>
    <w:rsid w:val="3C015573"/>
    <w:rsid w:val="3FFB3697"/>
    <w:rsid w:val="46544ED0"/>
    <w:rsid w:val="475B762B"/>
    <w:rsid w:val="4A684112"/>
    <w:rsid w:val="4B151C27"/>
    <w:rsid w:val="4F472D68"/>
    <w:rsid w:val="55382BFF"/>
    <w:rsid w:val="59A97808"/>
    <w:rsid w:val="5DFF2F60"/>
    <w:rsid w:val="67A66AA6"/>
    <w:rsid w:val="68675C3F"/>
    <w:rsid w:val="69D73E2B"/>
    <w:rsid w:val="6A476BF6"/>
    <w:rsid w:val="6A4F3067"/>
    <w:rsid w:val="6B475A38"/>
    <w:rsid w:val="6C5377FF"/>
    <w:rsid w:val="708A6DB2"/>
    <w:rsid w:val="7335099C"/>
    <w:rsid w:val="759720A2"/>
    <w:rsid w:val="77F85F01"/>
    <w:rsid w:val="78D37654"/>
    <w:rsid w:val="79A36D08"/>
    <w:rsid w:val="79AA5561"/>
    <w:rsid w:val="7DF1573D"/>
    <w:rsid w:val="7FFA7C77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331</Characters>
  <Lines>0</Lines>
  <Paragraphs>0</Paragraphs>
  <ScaleCrop>false</ScaleCrop>
  <LinksUpToDate>false</LinksUpToDate>
  <CharactersWithSpaces>334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2025-12-18T10:58:00Z</dcterms:created>
  <dc:creator>Administrator</dc:creator>
  <cp:lastModifiedBy>佟飞</cp:lastModifiedBy>
  <dcterms:modified xsi:type="dcterms:W3CDTF">2026-03-19T08:16:12Z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2025-12-18T10:58:51Z</vt:filetime>
  </property>
  <property fmtid="{D5CDD505-2E9C-101B-9397-08002B2CF9AE}" pid="4" name="UsrData">
    <vt:lpwstr>69436de293e4d8001f03048bwl</vt:lpwstr>
  </property>
  <property fmtid="{D5CDD505-2E9C-101B-9397-08002B2CF9AE}" pid="5" name="KSOProductBuildVer">
    <vt:lpwstr>2052-10.8.0.5838</vt:lpwstr>
  </property>
  <property fmtid="{D5CDD505-2E9C-101B-9397-08002B2CF9AE}" pid="6" name="ICV">
    <vt:lpwstr>764F688956BA4E99A6C40471862E8A8D_13</vt:lpwstr>
  </property>
</Properties>
</file>