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2025年12月26日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瑞福文化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Times New Roman" w:hAnsi="Times New Roman"/>
                <w:color w:val="auto"/>
                <w:sz w:val="44"/>
                <w:szCs w:val="44"/>
              </w:rPr>
              <w:t>潮宏基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紫金矿业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东吴黄金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苏投公司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苏投公司、</w:t>
      </w:r>
      <w:r>
        <w:rPr>
          <w:rFonts w:ascii="黑体" w:hAnsi="黑体" w:eastAsia="黑体" w:cs="黑体"/>
          <w:spacing w:val="31"/>
          <w:sz w:val="39"/>
          <w:szCs w:val="39"/>
        </w:rPr>
        <w:t>东吴黄金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、潮宏基、紫金矿业、瑞福文化、</w:t>
      </w:r>
      <w:r>
        <w:rPr>
          <w:rFonts w:ascii="黑体" w:hAnsi="黑体" w:eastAsia="黑体" w:cs="黑体"/>
          <w:spacing w:val="31"/>
          <w:sz w:val="39"/>
          <w:szCs w:val="39"/>
        </w:rPr>
        <w:t>中艺黄金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6家贵金属公司，本行接受贵金属公司委托，在贵金属公司授权范围内代理销售贵金属产品并提供相关服务。以上贵金属产品由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家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1200173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C075F40"/>
    <w:rsid w:val="20BB675D"/>
    <w:rsid w:val="213D4442"/>
    <w:rsid w:val="219E76F3"/>
    <w:rsid w:val="223C39CD"/>
    <w:rsid w:val="23C17A97"/>
    <w:rsid w:val="25765E8F"/>
    <w:rsid w:val="25DB3635"/>
    <w:rsid w:val="277D5914"/>
    <w:rsid w:val="27C463FF"/>
    <w:rsid w:val="28765F54"/>
    <w:rsid w:val="2D0B7200"/>
    <w:rsid w:val="2E57681A"/>
    <w:rsid w:val="2E67677D"/>
    <w:rsid w:val="309E1A98"/>
    <w:rsid w:val="32837AB9"/>
    <w:rsid w:val="33616348"/>
    <w:rsid w:val="394815D7"/>
    <w:rsid w:val="3A9F0546"/>
    <w:rsid w:val="3B532414"/>
    <w:rsid w:val="3BE358B6"/>
    <w:rsid w:val="3C015573"/>
    <w:rsid w:val="3FFB3697"/>
    <w:rsid w:val="46544ED0"/>
    <w:rsid w:val="475B762B"/>
    <w:rsid w:val="4A684112"/>
    <w:rsid w:val="4B151C27"/>
    <w:rsid w:val="4F472D68"/>
    <w:rsid w:val="4F4C32B3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7FE0EF4"/>
    <w:rsid w:val="78D37654"/>
    <w:rsid w:val="79A36D08"/>
    <w:rsid w:val="79AA5561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2026-03-19T08:58:01Z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