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17" w:line="222" w:lineRule="auto"/>
        <w:jc w:val="center"/>
        <w:outlineLvl w:val="0"/>
        <w:rPr>
          <w:rFonts w:ascii="黑体" w:hAnsi="黑体" w:eastAsia="黑体" w:cs="黑体"/>
          <w:sz w:val="90"/>
          <w:szCs w:val="90"/>
        </w:rPr>
      </w:pPr>
      <w:r>
        <w:rPr>
          <w:rFonts w:hint="eastAsia" w:ascii="黑体" w:hAnsi="黑体" w:eastAsia="黑体" w:cs="黑体"/>
          <w:b/>
          <w:bCs/>
          <w:spacing w:val="11"/>
          <w:sz w:val="90"/>
          <w:szCs w:val="90"/>
          <w:lang w:eastAsia="zh-CN"/>
        </w:rPr>
        <w:t>宝应</w:t>
      </w:r>
      <w:r>
        <w:rPr>
          <w:rFonts w:ascii="黑体" w:hAnsi="黑体" w:eastAsia="黑体" w:cs="黑体"/>
          <w:b/>
          <w:bCs/>
          <w:spacing w:val="11"/>
          <w:sz w:val="90"/>
          <w:szCs w:val="90"/>
        </w:rPr>
        <w:t>农商银行代</w:t>
      </w:r>
      <w:r>
        <w:rPr>
          <w:rFonts w:hint="eastAsia" w:ascii="黑体" w:hAnsi="黑体" w:eastAsia="黑体" w:cs="黑体"/>
          <w:b/>
          <w:bCs/>
          <w:spacing w:val="11"/>
          <w:sz w:val="90"/>
          <w:szCs w:val="90"/>
          <w:lang w:eastAsia="zh-CN"/>
        </w:rPr>
        <w:t>理贵金属公司及</w:t>
      </w:r>
      <w:r>
        <w:rPr>
          <w:rFonts w:ascii="黑体" w:hAnsi="黑体" w:eastAsia="黑体" w:cs="黑体"/>
          <w:b/>
          <w:bCs/>
          <w:spacing w:val="11"/>
          <w:sz w:val="90"/>
          <w:szCs w:val="90"/>
        </w:rPr>
        <w:t>产品</w:t>
      </w:r>
      <w:r>
        <w:rPr>
          <w:rFonts w:hint="eastAsia" w:ascii="黑体" w:hAnsi="黑体" w:eastAsia="黑体" w:cs="黑体"/>
          <w:b/>
          <w:bCs/>
          <w:spacing w:val="11"/>
          <w:sz w:val="90"/>
          <w:szCs w:val="90"/>
          <w:lang w:eastAsia="zh-CN"/>
        </w:rPr>
        <w:t>公示</w:t>
      </w:r>
    </w:p>
    <w:p>
      <w:pPr>
        <w:spacing w:before="69"/>
        <w:jc w:val="center"/>
        <w:rPr>
          <w:rFonts w:hint="eastAsia" w:eastAsia="宋体"/>
          <w:sz w:val="48"/>
          <w:szCs w:val="48"/>
          <w:lang w:eastAsia="zh-CN"/>
        </w:rPr>
      </w:pPr>
      <w:r>
        <w:rPr>
          <w:rFonts w:hint="eastAsia" w:eastAsia="宋体"/>
          <w:sz w:val="48"/>
          <w:szCs w:val="48"/>
          <w:lang w:eastAsia="zh-CN"/>
        </w:rPr>
        <w:t>（</w:t>
      </w:r>
      <w:r>
        <w:rPr>
          <w:rFonts w:hint="eastAsia" w:eastAsia="宋体"/>
          <w:sz w:val="48"/>
          <w:szCs w:val="48"/>
          <w:lang w:val="en-US" w:eastAsia="zh-CN"/>
        </w:rPr>
        <w:t>2025年10月17日</w:t>
      </w:r>
      <w:r>
        <w:rPr>
          <w:rFonts w:hint="eastAsia" w:eastAsia="宋体"/>
          <w:sz w:val="48"/>
          <w:szCs w:val="48"/>
          <w:lang w:eastAsia="zh-CN"/>
        </w:rPr>
        <w:t>）</w:t>
      </w:r>
    </w:p>
    <w:p>
      <w:pPr>
        <w:spacing w:before="69"/>
      </w:pPr>
    </w:p>
    <w:p>
      <w:pPr>
        <w:spacing w:before="69"/>
      </w:pPr>
    </w:p>
    <w:tbl>
      <w:tblPr>
        <w:tblStyle w:val="4"/>
        <w:tblW w:w="16900" w:type="dxa"/>
        <w:jc w:val="center"/>
        <w:tblInd w:w="17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75"/>
        <w:gridCol w:w="1152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  <w:jc w:val="center"/>
        </w:trPr>
        <w:tc>
          <w:tcPr>
            <w:tcW w:w="5375" w:type="dxa"/>
            <w:tcBorders>
              <w:tl2br w:val="nil"/>
              <w:tr2bl w:val="nil"/>
            </w:tcBorders>
            <w:vAlign w:val="center"/>
          </w:tcPr>
          <w:p>
            <w:pPr>
              <w:spacing w:before="147" w:line="222" w:lineRule="auto"/>
              <w:jc w:val="center"/>
              <w:rPr>
                <w:rFonts w:ascii="宋体" w:hAnsi="宋体" w:eastAsia="宋体" w:cs="宋体"/>
                <w:color w:val="auto"/>
                <w:sz w:val="45"/>
                <w:szCs w:val="45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pacing w:val="12"/>
                <w:sz w:val="45"/>
                <w:szCs w:val="45"/>
              </w:rPr>
              <w:t>合作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12"/>
                <w:sz w:val="45"/>
                <w:szCs w:val="45"/>
                <w:lang w:eastAsia="zh-CN"/>
              </w:rPr>
              <w:t>贵金属</w:t>
            </w:r>
            <w:r>
              <w:rPr>
                <w:rFonts w:ascii="宋体" w:hAnsi="宋体" w:eastAsia="宋体" w:cs="宋体"/>
                <w:b/>
                <w:bCs/>
                <w:color w:val="auto"/>
                <w:spacing w:val="12"/>
                <w:sz w:val="45"/>
                <w:szCs w:val="45"/>
              </w:rPr>
              <w:t>公司</w:t>
            </w:r>
          </w:p>
        </w:tc>
        <w:tc>
          <w:tcPr>
            <w:tcW w:w="11525" w:type="dxa"/>
            <w:tcBorders>
              <w:tl2br w:val="nil"/>
              <w:tr2bl w:val="nil"/>
            </w:tcBorders>
            <w:vAlign w:val="center"/>
          </w:tcPr>
          <w:p>
            <w:pPr>
              <w:spacing w:before="147" w:line="221" w:lineRule="auto"/>
              <w:jc w:val="center"/>
              <w:rPr>
                <w:rFonts w:ascii="宋体" w:hAnsi="宋体" w:eastAsia="宋体" w:cs="宋体"/>
                <w:color w:val="auto"/>
                <w:sz w:val="45"/>
                <w:szCs w:val="45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pacing w:val="8"/>
                <w:sz w:val="45"/>
                <w:szCs w:val="45"/>
              </w:rPr>
              <w:t>合作产品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  <w:jc w:val="center"/>
        </w:trPr>
        <w:tc>
          <w:tcPr>
            <w:tcW w:w="537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</w:pPr>
            <w:r>
              <w:rPr>
                <w:rFonts w:ascii="宋体" w:hAnsi="宋体" w:eastAsia="宋体" w:cs="宋体"/>
                <w:color w:val="auto"/>
                <w:spacing w:val="9"/>
                <w:sz w:val="45"/>
                <w:szCs w:val="45"/>
              </w:rPr>
              <w:t>中艺黄金</w:t>
            </w:r>
          </w:p>
        </w:tc>
        <w:tc>
          <w:tcPr>
            <w:tcW w:w="1152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7"/>
                <w:sz w:val="45"/>
                <w:szCs w:val="45"/>
              </w:rPr>
            </w:pPr>
            <w:r>
              <w:rPr>
                <w:rFonts w:ascii="宋体" w:hAnsi="宋体" w:eastAsia="宋体" w:cs="宋体"/>
                <w:color w:val="auto"/>
                <w:spacing w:val="6"/>
                <w:sz w:val="45"/>
                <w:szCs w:val="45"/>
              </w:rPr>
              <w:t>投资金条</w:t>
            </w: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、工艺金、黄金纪念币等实物</w:t>
            </w:r>
            <w:r>
              <w:rPr>
                <w:rFonts w:ascii="宋体" w:hAnsi="宋体" w:eastAsia="宋体" w:cs="宋体"/>
                <w:color w:val="auto"/>
                <w:spacing w:val="7"/>
                <w:sz w:val="45"/>
                <w:szCs w:val="45"/>
              </w:rPr>
              <w:t>贵金属制品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  <w:jc w:val="center"/>
        </w:trPr>
        <w:tc>
          <w:tcPr>
            <w:tcW w:w="537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</w:pP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瑞福文化</w:t>
            </w:r>
          </w:p>
        </w:tc>
        <w:tc>
          <w:tcPr>
            <w:tcW w:w="1152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10"/>
                <w:sz w:val="45"/>
                <w:szCs w:val="45"/>
              </w:rPr>
            </w:pPr>
            <w:r>
              <w:rPr>
                <w:rFonts w:ascii="宋体" w:hAnsi="宋体" w:eastAsia="宋体" w:cs="宋体"/>
                <w:color w:val="auto"/>
                <w:spacing w:val="6"/>
                <w:sz w:val="45"/>
                <w:szCs w:val="45"/>
              </w:rPr>
              <w:t>投资金条</w:t>
            </w: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、工艺金、黄金纪念币等实物</w:t>
            </w:r>
            <w:r>
              <w:rPr>
                <w:rFonts w:ascii="宋体" w:hAnsi="宋体" w:eastAsia="宋体" w:cs="宋体"/>
                <w:color w:val="auto"/>
                <w:spacing w:val="7"/>
                <w:sz w:val="45"/>
                <w:szCs w:val="45"/>
              </w:rPr>
              <w:t>贵金属制品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  <w:jc w:val="center"/>
        </w:trPr>
        <w:tc>
          <w:tcPr>
            <w:tcW w:w="537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</w:pPr>
            <w:r>
              <w:rPr>
                <w:rFonts w:hint="eastAsia" w:ascii="Times New Roman" w:hAnsi="Times New Roman"/>
                <w:color w:val="auto"/>
                <w:sz w:val="44"/>
                <w:szCs w:val="44"/>
              </w:rPr>
              <w:t>潮宏基</w:t>
            </w:r>
          </w:p>
        </w:tc>
        <w:tc>
          <w:tcPr>
            <w:tcW w:w="1152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10"/>
                <w:sz w:val="45"/>
                <w:szCs w:val="45"/>
              </w:rPr>
            </w:pPr>
            <w:r>
              <w:rPr>
                <w:rFonts w:ascii="宋体" w:hAnsi="宋体" w:eastAsia="宋体" w:cs="宋体"/>
                <w:color w:val="auto"/>
                <w:spacing w:val="6"/>
                <w:sz w:val="45"/>
                <w:szCs w:val="45"/>
              </w:rPr>
              <w:t>投资金条</w:t>
            </w: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、工艺金、黄金纪念币等实物</w:t>
            </w:r>
            <w:r>
              <w:rPr>
                <w:rFonts w:ascii="宋体" w:hAnsi="宋体" w:eastAsia="宋体" w:cs="宋体"/>
                <w:color w:val="auto"/>
                <w:spacing w:val="7"/>
                <w:sz w:val="45"/>
                <w:szCs w:val="45"/>
              </w:rPr>
              <w:t>贵金属制品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  <w:jc w:val="center"/>
        </w:trPr>
        <w:tc>
          <w:tcPr>
            <w:tcW w:w="537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</w:pP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紫金矿业</w:t>
            </w:r>
          </w:p>
        </w:tc>
        <w:tc>
          <w:tcPr>
            <w:tcW w:w="1152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10"/>
                <w:sz w:val="45"/>
                <w:szCs w:val="45"/>
              </w:rPr>
            </w:pPr>
            <w:r>
              <w:rPr>
                <w:rFonts w:ascii="宋体" w:hAnsi="宋体" w:eastAsia="宋体" w:cs="宋体"/>
                <w:color w:val="auto"/>
                <w:spacing w:val="6"/>
                <w:sz w:val="45"/>
                <w:szCs w:val="45"/>
              </w:rPr>
              <w:t>投资金条</w:t>
            </w: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、工艺金、黄金纪念币等实物</w:t>
            </w:r>
            <w:r>
              <w:rPr>
                <w:rFonts w:ascii="宋体" w:hAnsi="宋体" w:eastAsia="宋体" w:cs="宋体"/>
                <w:color w:val="auto"/>
                <w:spacing w:val="7"/>
                <w:sz w:val="45"/>
                <w:szCs w:val="45"/>
              </w:rPr>
              <w:t>贵金属制品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  <w:jc w:val="center"/>
        </w:trPr>
        <w:tc>
          <w:tcPr>
            <w:tcW w:w="537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</w:pPr>
            <w:r>
              <w:rPr>
                <w:rFonts w:ascii="宋体" w:hAnsi="宋体" w:eastAsia="宋体" w:cs="宋体"/>
                <w:color w:val="auto"/>
                <w:spacing w:val="9"/>
                <w:sz w:val="45"/>
                <w:szCs w:val="45"/>
              </w:rPr>
              <w:t>东吴黄金</w:t>
            </w:r>
          </w:p>
        </w:tc>
        <w:tc>
          <w:tcPr>
            <w:tcW w:w="1152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10"/>
                <w:sz w:val="45"/>
                <w:szCs w:val="45"/>
              </w:rPr>
            </w:pPr>
            <w:r>
              <w:rPr>
                <w:rFonts w:ascii="宋体" w:hAnsi="宋体" w:eastAsia="宋体" w:cs="宋体"/>
                <w:color w:val="auto"/>
                <w:spacing w:val="6"/>
                <w:sz w:val="45"/>
                <w:szCs w:val="45"/>
              </w:rPr>
              <w:t>投资金条</w:t>
            </w: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、工艺金、黄金纪念币等实物</w:t>
            </w:r>
            <w:r>
              <w:rPr>
                <w:rFonts w:ascii="宋体" w:hAnsi="宋体" w:eastAsia="宋体" w:cs="宋体"/>
                <w:color w:val="auto"/>
                <w:spacing w:val="7"/>
                <w:sz w:val="45"/>
                <w:szCs w:val="45"/>
              </w:rPr>
              <w:t>贵金属制品</w:t>
            </w:r>
          </w:p>
        </w:tc>
      </w:tr>
    </w:tbl>
    <w:p>
      <w:pPr>
        <w:spacing w:line="283" w:lineRule="auto"/>
        <w:rPr>
          <w:rFonts w:ascii="Arial"/>
          <w:sz w:val="21"/>
        </w:rPr>
      </w:pPr>
    </w:p>
    <w:p>
      <w:pPr>
        <w:spacing w:before="127" w:line="346" w:lineRule="auto"/>
        <w:jc w:val="both"/>
        <w:rPr>
          <w:rFonts w:ascii="黑体" w:hAnsi="黑体" w:eastAsia="黑体" w:cs="黑体"/>
          <w:spacing w:val="37"/>
          <w:sz w:val="39"/>
          <w:szCs w:val="39"/>
        </w:rPr>
      </w:pPr>
      <w:r>
        <w:rPr>
          <w:rFonts w:hint="eastAsia" w:ascii="黑体" w:hAnsi="黑体" w:eastAsia="黑体" w:cs="黑体"/>
          <w:spacing w:val="31"/>
          <w:sz w:val="39"/>
          <w:szCs w:val="39"/>
          <w:lang w:val="en-US" w:eastAsia="zh-CN"/>
        </w:rPr>
        <w:t xml:space="preserve">   宝应农商银行合作贵金属公司为</w:t>
      </w:r>
      <w:r>
        <w:rPr>
          <w:rFonts w:ascii="黑体" w:hAnsi="黑体" w:eastAsia="黑体" w:cs="黑体"/>
          <w:spacing w:val="31"/>
          <w:sz w:val="39"/>
          <w:szCs w:val="39"/>
        </w:rPr>
        <w:t>中艺黄金</w:t>
      </w:r>
      <w:r>
        <w:rPr>
          <w:rFonts w:hint="eastAsia" w:ascii="黑体" w:hAnsi="黑体" w:eastAsia="黑体" w:cs="黑体"/>
          <w:spacing w:val="31"/>
          <w:sz w:val="39"/>
          <w:szCs w:val="39"/>
          <w:lang w:eastAsia="zh-CN"/>
        </w:rPr>
        <w:t>、瑞福文化、潮宏基、紫金矿业、</w:t>
      </w:r>
      <w:r>
        <w:rPr>
          <w:rFonts w:ascii="黑体" w:hAnsi="黑体" w:eastAsia="黑体" w:cs="黑体"/>
          <w:spacing w:val="31"/>
          <w:sz w:val="39"/>
          <w:szCs w:val="39"/>
        </w:rPr>
        <w:t>东吴黄金</w:t>
      </w:r>
      <w:r>
        <w:rPr>
          <w:rFonts w:hint="eastAsia" w:ascii="黑体" w:hAnsi="黑体" w:eastAsia="黑体" w:cs="黑体"/>
          <w:spacing w:val="31"/>
          <w:sz w:val="39"/>
          <w:szCs w:val="39"/>
          <w:lang w:val="en-US" w:eastAsia="zh-CN"/>
        </w:rPr>
        <w:t>5家贵金属公司，本行接受贵金属公司委托，在贵金属公司授权范围内代理销售贵金属产品并提供相关服务。以上贵金属产品由</w:t>
      </w:r>
      <w:r>
        <w:rPr>
          <w:rFonts w:hint="eastAsia" w:ascii="黑体" w:hAnsi="黑体" w:eastAsia="黑体" w:cs="黑体"/>
          <w:spacing w:val="30"/>
          <w:sz w:val="39"/>
          <w:szCs w:val="39"/>
          <w:lang w:eastAsia="zh-CN"/>
        </w:rPr>
        <w:t>上述</w:t>
      </w:r>
      <w:r>
        <w:rPr>
          <w:rFonts w:hint="eastAsia" w:ascii="黑体" w:hAnsi="黑体" w:eastAsia="黑体" w:cs="黑体"/>
          <w:spacing w:val="30"/>
          <w:sz w:val="39"/>
          <w:szCs w:val="39"/>
          <w:lang w:val="en-US" w:eastAsia="zh-CN"/>
        </w:rPr>
        <w:t>5</w:t>
      </w:r>
      <w:bookmarkStart w:id="0" w:name="_GoBack"/>
      <w:bookmarkEnd w:id="0"/>
      <w:r>
        <w:rPr>
          <w:rFonts w:hint="eastAsia" w:ascii="黑体" w:hAnsi="黑体" w:eastAsia="黑体" w:cs="黑体"/>
          <w:spacing w:val="30"/>
          <w:sz w:val="39"/>
          <w:szCs w:val="39"/>
          <w:lang w:val="en-US" w:eastAsia="zh-CN"/>
        </w:rPr>
        <w:t>家</w:t>
      </w:r>
      <w:r>
        <w:rPr>
          <w:rFonts w:ascii="黑体" w:hAnsi="黑体" w:eastAsia="黑体" w:cs="黑体"/>
          <w:spacing w:val="31"/>
          <w:sz w:val="39"/>
          <w:szCs w:val="39"/>
        </w:rPr>
        <w:t>公司</w:t>
      </w:r>
      <w:r>
        <w:rPr>
          <w:rFonts w:hint="eastAsia" w:ascii="黑体" w:hAnsi="黑体" w:eastAsia="黑体" w:cs="黑体"/>
          <w:spacing w:val="31"/>
          <w:sz w:val="39"/>
          <w:szCs w:val="39"/>
          <w:lang w:eastAsia="zh-CN"/>
        </w:rPr>
        <w:t>发行与管理，</w:t>
      </w:r>
      <w:r>
        <w:rPr>
          <w:rFonts w:hint="eastAsia" w:ascii="黑体" w:hAnsi="黑体" w:eastAsia="黑体" w:cs="黑体"/>
          <w:spacing w:val="31"/>
          <w:sz w:val="39"/>
          <w:szCs w:val="39"/>
          <w:lang w:val="en-US" w:eastAsia="zh-CN"/>
        </w:rPr>
        <w:t>具体代销贵金属产品可登录“江苏农商银行”手机银行贵金属专区查看。</w:t>
      </w:r>
      <w:r>
        <w:rPr>
          <w:rFonts w:hint="eastAsia" w:ascii="黑体" w:hAnsi="黑体" w:eastAsia="黑体" w:cs="黑体"/>
          <w:spacing w:val="31"/>
          <w:sz w:val="39"/>
          <w:szCs w:val="39"/>
          <w:lang w:eastAsia="zh-CN"/>
        </w:rPr>
        <w:t>本行作为代销机构</w:t>
      </w:r>
      <w:r>
        <w:rPr>
          <w:rFonts w:ascii="黑体" w:hAnsi="黑体" w:eastAsia="黑体" w:cs="黑体"/>
          <w:spacing w:val="32"/>
          <w:sz w:val="39"/>
          <w:szCs w:val="39"/>
        </w:rPr>
        <w:t>不承担产品的投资、兑付和风险管理。产品有风险，投资需谨慎，购买前可咨询我行</w:t>
      </w:r>
      <w:r>
        <w:rPr>
          <w:rFonts w:hint="eastAsia" w:ascii="黑体" w:hAnsi="黑体" w:eastAsia="黑体" w:cs="黑体"/>
          <w:spacing w:val="37"/>
          <w:sz w:val="39"/>
          <w:szCs w:val="39"/>
          <w:lang w:eastAsia="zh-CN"/>
        </w:rPr>
        <w:t>理财经理</w:t>
      </w:r>
      <w:r>
        <w:rPr>
          <w:rFonts w:ascii="黑体" w:hAnsi="黑体" w:eastAsia="黑体" w:cs="黑体"/>
          <w:spacing w:val="37"/>
          <w:sz w:val="39"/>
          <w:szCs w:val="39"/>
        </w:rPr>
        <w:t>。</w:t>
      </w:r>
    </w:p>
    <w:p>
      <w:pPr>
        <w:spacing w:before="127" w:line="346" w:lineRule="auto"/>
        <w:jc w:val="both"/>
        <w:rPr>
          <w:rFonts w:ascii="黑体" w:hAnsi="黑体" w:eastAsia="黑体" w:cs="黑体"/>
          <w:spacing w:val="37"/>
          <w:sz w:val="39"/>
          <w:szCs w:val="39"/>
        </w:rPr>
      </w:pPr>
    </w:p>
    <w:sectPr>
      <w:pgSz w:w="22387" w:h="31681"/>
      <w:pgMar w:top="2664" w:right="3000" w:bottom="0" w:left="2905" w:header="0" w:footer="0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compat>
    <w:spaceForUL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rsids>
    <w:rsidRoot w:val="00000000"/>
    <w:rsid w:val="035A69FF"/>
    <w:rsid w:val="050016A8"/>
    <w:rsid w:val="06BF48AC"/>
    <w:rsid w:val="07C73DBF"/>
    <w:rsid w:val="097651B4"/>
    <w:rsid w:val="09D77CD8"/>
    <w:rsid w:val="0B3215FA"/>
    <w:rsid w:val="0F212A8D"/>
    <w:rsid w:val="15637D23"/>
    <w:rsid w:val="19857778"/>
    <w:rsid w:val="1AA55651"/>
    <w:rsid w:val="1C075F40"/>
    <w:rsid w:val="20BB675D"/>
    <w:rsid w:val="213D4442"/>
    <w:rsid w:val="219E76F3"/>
    <w:rsid w:val="223C39CD"/>
    <w:rsid w:val="23C17A97"/>
    <w:rsid w:val="25765E8F"/>
    <w:rsid w:val="25DB3635"/>
    <w:rsid w:val="277D5914"/>
    <w:rsid w:val="27C463FF"/>
    <w:rsid w:val="28765F54"/>
    <w:rsid w:val="2B013928"/>
    <w:rsid w:val="2D0B7200"/>
    <w:rsid w:val="2E57681A"/>
    <w:rsid w:val="2E67677D"/>
    <w:rsid w:val="309E1A98"/>
    <w:rsid w:val="32837AB9"/>
    <w:rsid w:val="33616348"/>
    <w:rsid w:val="394815D7"/>
    <w:rsid w:val="3A9F0546"/>
    <w:rsid w:val="3B532414"/>
    <w:rsid w:val="3BE358B6"/>
    <w:rsid w:val="3C015573"/>
    <w:rsid w:val="3FFB3697"/>
    <w:rsid w:val="46544ED0"/>
    <w:rsid w:val="475B762B"/>
    <w:rsid w:val="4A684112"/>
    <w:rsid w:val="4B151C27"/>
    <w:rsid w:val="4F472D68"/>
    <w:rsid w:val="4F4C32B3"/>
    <w:rsid w:val="55382BFF"/>
    <w:rsid w:val="59A97808"/>
    <w:rsid w:val="5DFF2F60"/>
    <w:rsid w:val="67A66AA6"/>
    <w:rsid w:val="68675C3F"/>
    <w:rsid w:val="69D73E2B"/>
    <w:rsid w:val="6A476BF6"/>
    <w:rsid w:val="6A4F3067"/>
    <w:rsid w:val="6B475A38"/>
    <w:rsid w:val="6C5377FF"/>
    <w:rsid w:val="708A6DB2"/>
    <w:rsid w:val="7335099C"/>
    <w:rsid w:val="759720A2"/>
    <w:rsid w:val="77F85F01"/>
    <w:rsid w:val="77FE0EF4"/>
    <w:rsid w:val="78D37654"/>
    <w:rsid w:val="79A36D08"/>
    <w:rsid w:val="79AA5561"/>
    <w:rsid w:val="7DF1573D"/>
    <w:rsid w:val="7FFA7C77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326</Words>
  <Characters>331</Characters>
  <Lines>0</Lines>
  <Paragraphs>0</Paragraphs>
  <ScaleCrop>false</ScaleCrop>
  <LinksUpToDate>false</LinksUpToDate>
  <CharactersWithSpaces>334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2025-12-18T10:58:00Z</dcterms:created>
  <dc:creator>Administrator</dc:creator>
  <cp:lastModifiedBy>佟飞</cp:lastModifiedBy>
  <dcterms:modified xsi:type="dcterms:W3CDTF">2026-03-19T08:57:36Z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2025-12-18T10:58:51Z</vt:filetime>
  </property>
  <property fmtid="{D5CDD505-2E9C-101B-9397-08002B2CF9AE}" pid="4" name="UsrData">
    <vt:lpwstr>69436de293e4d8001f03048bwl</vt:lpwstr>
  </property>
  <property fmtid="{D5CDD505-2E9C-101B-9397-08002B2CF9AE}" pid="5" name="KSOProductBuildVer">
    <vt:lpwstr>2052-10.8.0.5838</vt:lpwstr>
  </property>
  <property fmtid="{D5CDD505-2E9C-101B-9397-08002B2CF9AE}" pid="6" name="ICV">
    <vt:lpwstr>764F688956BA4E99A6C40471862E8A8D_13</vt:lpwstr>
  </property>
</Properties>
</file>